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506E22F7" w14:textId="1A2BE67C" w:rsidR="00F04B9A" w:rsidRPr="00D70F65" w:rsidRDefault="001D1FF1" w:rsidP="00F04B9A">
      <w:pPr>
        <w:jc w:val="center"/>
        <w:rPr>
          <w:rFonts w:ascii="Arial Black" w:hAnsi="Arial Black"/>
          <w:color w:val="7030A0"/>
          <w:sz w:val="40"/>
          <w:szCs w:val="40"/>
        </w:rPr>
      </w:pPr>
      <w:bookmarkStart w:id="0" w:name="_Hlk163740684"/>
      <w:r w:rsidRPr="001D1FF1">
        <w:rPr>
          <w:rFonts w:ascii="Arial Black" w:hAnsi="Arial Black"/>
          <w:color w:val="7030A0"/>
          <w:sz w:val="40"/>
          <w:szCs w:val="40"/>
        </w:rPr>
        <w:t>Robotizovaný systém pro nácvik chůze včetně pozáručních činností</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894D72">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bookmarkEnd w:id="0"/>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894D72">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894D72">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894D72">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894D72">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894D72">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894D72">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6152BEC3" w14:textId="77777777" w:rsidR="00B32756" w:rsidRDefault="00B32756" w:rsidP="006360F0">
      <w:pPr>
        <w:jc w:val="both"/>
        <w:rPr>
          <w:rFonts w:ascii="Arial" w:hAnsi="Arial" w:cs="Arial"/>
          <w:i/>
          <w:sz w:val="18"/>
          <w:szCs w:val="18"/>
        </w:rPr>
      </w:pPr>
    </w:p>
    <w:p w14:paraId="3E0374C0" w14:textId="77777777" w:rsidR="0031488E" w:rsidRDefault="0031488E" w:rsidP="006360F0">
      <w:pPr>
        <w:jc w:val="both"/>
        <w:rPr>
          <w:rFonts w:ascii="Arial" w:hAnsi="Arial" w:cs="Arial"/>
          <w:i/>
          <w:sz w:val="18"/>
          <w:szCs w:val="18"/>
        </w:rPr>
      </w:pPr>
    </w:p>
    <w:tbl>
      <w:tblPr>
        <w:tblW w:w="9214" w:type="dxa"/>
        <w:tblInd w:w="-5" w:type="dxa"/>
        <w:tblCellMar>
          <w:left w:w="70" w:type="dxa"/>
          <w:right w:w="70" w:type="dxa"/>
        </w:tblCellMar>
        <w:tblLook w:val="04A0" w:firstRow="1" w:lastRow="0" w:firstColumn="1" w:lastColumn="0" w:noHBand="0" w:noVBand="1"/>
      </w:tblPr>
      <w:tblGrid>
        <w:gridCol w:w="7513"/>
        <w:gridCol w:w="1701"/>
      </w:tblGrid>
      <w:tr w:rsidR="0031488E" w:rsidRPr="0031488E" w14:paraId="41FD98AF" w14:textId="77777777" w:rsidTr="0031488E">
        <w:trPr>
          <w:trHeight w:val="600"/>
        </w:trPr>
        <w:tc>
          <w:tcPr>
            <w:tcW w:w="9214" w:type="dxa"/>
            <w:gridSpan w:val="2"/>
            <w:tcBorders>
              <w:top w:val="single" w:sz="4" w:space="0" w:color="auto"/>
              <w:left w:val="single" w:sz="4" w:space="0" w:color="auto"/>
              <w:bottom w:val="single" w:sz="4" w:space="0" w:color="auto"/>
              <w:right w:val="single" w:sz="4" w:space="0" w:color="000000"/>
            </w:tcBorders>
            <w:vAlign w:val="center"/>
            <w:hideMark/>
          </w:tcPr>
          <w:p w14:paraId="384B7613" w14:textId="77777777" w:rsidR="0031488E" w:rsidRPr="0031488E" w:rsidRDefault="0031488E" w:rsidP="0031488E">
            <w:pPr>
              <w:jc w:val="center"/>
              <w:rPr>
                <w:rFonts w:ascii="Arial" w:hAnsi="Arial" w:cs="Arial"/>
                <w:b/>
                <w:bCs/>
                <w:color w:val="000000"/>
                <w:sz w:val="24"/>
                <w:szCs w:val="24"/>
              </w:rPr>
            </w:pPr>
            <w:r w:rsidRPr="0031488E">
              <w:rPr>
                <w:rFonts w:ascii="Arial" w:hAnsi="Arial" w:cs="Arial"/>
                <w:b/>
                <w:bCs/>
                <w:color w:val="000000"/>
                <w:sz w:val="24"/>
                <w:szCs w:val="24"/>
              </w:rPr>
              <w:t>Rekapitulace ceny v Kč bez DPH</w:t>
            </w:r>
          </w:p>
        </w:tc>
      </w:tr>
      <w:tr w:rsidR="0031488E" w:rsidRPr="0031488E" w14:paraId="4B68B4CE" w14:textId="77777777" w:rsidTr="0031488E">
        <w:trPr>
          <w:trHeight w:val="1002"/>
        </w:trPr>
        <w:tc>
          <w:tcPr>
            <w:tcW w:w="7513" w:type="dxa"/>
            <w:tcBorders>
              <w:top w:val="nil"/>
              <w:left w:val="single" w:sz="4" w:space="0" w:color="auto"/>
              <w:bottom w:val="single" w:sz="4" w:space="0" w:color="auto"/>
              <w:right w:val="single" w:sz="4" w:space="0" w:color="auto"/>
            </w:tcBorders>
            <w:vAlign w:val="center"/>
            <w:hideMark/>
          </w:tcPr>
          <w:p w14:paraId="38D74CFD" w14:textId="0ABF372E" w:rsidR="0031488E" w:rsidRPr="0031488E" w:rsidRDefault="0031488E" w:rsidP="0031488E">
            <w:pPr>
              <w:rPr>
                <w:rFonts w:ascii="Arial" w:hAnsi="Arial" w:cs="Arial"/>
                <w:sz w:val="24"/>
                <w:szCs w:val="24"/>
              </w:rPr>
            </w:pPr>
            <w:r w:rsidRPr="0031488E">
              <w:rPr>
                <w:rFonts w:ascii="Arial" w:hAnsi="Arial" w:cs="Arial"/>
                <w:sz w:val="24"/>
                <w:szCs w:val="24"/>
              </w:rPr>
              <w:t xml:space="preserve">CENA ZA NÁKUP </w:t>
            </w:r>
            <w:r>
              <w:rPr>
                <w:rFonts w:ascii="Arial" w:hAnsi="Arial" w:cs="Arial"/>
                <w:sz w:val="24"/>
                <w:szCs w:val="24"/>
              </w:rPr>
              <w:t>P</w:t>
            </w:r>
            <w:r w:rsidRPr="0031488E">
              <w:rPr>
                <w:rFonts w:ascii="Arial" w:hAnsi="Arial" w:cs="Arial"/>
                <w:sz w:val="24"/>
                <w:szCs w:val="24"/>
              </w:rPr>
              <w:t>ŘÍSTROJE                                                                                                                  tj. kupní cena z čl. 2 Kupní a servisní smlouvy</w:t>
            </w:r>
          </w:p>
        </w:tc>
        <w:tc>
          <w:tcPr>
            <w:tcW w:w="1701" w:type="dxa"/>
            <w:tcBorders>
              <w:top w:val="nil"/>
              <w:left w:val="nil"/>
              <w:bottom w:val="single" w:sz="4" w:space="0" w:color="auto"/>
              <w:right w:val="single" w:sz="4" w:space="0" w:color="auto"/>
            </w:tcBorders>
            <w:shd w:val="clear" w:color="000000" w:fill="FFFF00"/>
            <w:vAlign w:val="center"/>
          </w:tcPr>
          <w:p w14:paraId="36B15077" w14:textId="7411F01C" w:rsidR="0031488E" w:rsidRPr="0031488E" w:rsidRDefault="0031488E" w:rsidP="0031488E">
            <w:pPr>
              <w:jc w:val="center"/>
              <w:rPr>
                <w:rFonts w:ascii="Arial" w:hAnsi="Arial" w:cs="Arial"/>
                <w:sz w:val="24"/>
                <w:szCs w:val="24"/>
              </w:rPr>
            </w:pPr>
            <w:r w:rsidRPr="0031488E">
              <w:rPr>
                <w:rFonts w:ascii="Arial" w:hAnsi="Arial" w:cs="Arial"/>
                <w:sz w:val="24"/>
                <w:szCs w:val="24"/>
              </w:rPr>
              <w:t>………….</w:t>
            </w:r>
          </w:p>
        </w:tc>
      </w:tr>
      <w:tr w:rsidR="0031488E" w:rsidRPr="0031488E" w14:paraId="347E1B2C" w14:textId="77777777" w:rsidTr="0031488E">
        <w:trPr>
          <w:trHeight w:val="1002"/>
        </w:trPr>
        <w:tc>
          <w:tcPr>
            <w:tcW w:w="7513" w:type="dxa"/>
            <w:tcBorders>
              <w:top w:val="nil"/>
              <w:left w:val="single" w:sz="4" w:space="0" w:color="auto"/>
              <w:bottom w:val="single" w:sz="4" w:space="0" w:color="auto"/>
              <w:right w:val="single" w:sz="4" w:space="0" w:color="auto"/>
            </w:tcBorders>
            <w:vAlign w:val="center"/>
            <w:hideMark/>
          </w:tcPr>
          <w:p w14:paraId="0AED18EF" w14:textId="0DB7444C" w:rsidR="0031488E" w:rsidRPr="0031488E" w:rsidRDefault="0031488E" w:rsidP="0031488E">
            <w:pPr>
              <w:rPr>
                <w:rFonts w:ascii="Arial" w:hAnsi="Arial" w:cs="Arial"/>
                <w:sz w:val="24"/>
                <w:szCs w:val="24"/>
              </w:rPr>
            </w:pPr>
            <w:r w:rsidRPr="0031488E">
              <w:rPr>
                <w:rFonts w:ascii="Arial" w:hAnsi="Arial" w:cs="Arial"/>
                <w:sz w:val="24"/>
                <w:szCs w:val="24"/>
              </w:rPr>
              <w:t>CENA ZA POZÁRUČNÍ ČINNOSTI                                                                                                       tj.</w:t>
            </w:r>
            <w:r>
              <w:rPr>
                <w:rFonts w:ascii="Arial" w:hAnsi="Arial" w:cs="Arial"/>
                <w:sz w:val="24"/>
                <w:szCs w:val="24"/>
              </w:rPr>
              <w:t xml:space="preserve"> </w:t>
            </w:r>
            <w:r w:rsidRPr="0031488E">
              <w:rPr>
                <w:rFonts w:ascii="Arial" w:hAnsi="Arial" w:cs="Arial"/>
                <w:sz w:val="24"/>
                <w:szCs w:val="24"/>
              </w:rPr>
              <w:t xml:space="preserve">cena uvedená v buňce </w:t>
            </w:r>
            <w:r w:rsidR="00524DB5">
              <w:rPr>
                <w:rFonts w:ascii="Arial" w:hAnsi="Arial" w:cs="Arial"/>
                <w:sz w:val="24"/>
                <w:szCs w:val="24"/>
              </w:rPr>
              <w:t>E14</w:t>
            </w:r>
            <w:r w:rsidRPr="0031488E">
              <w:rPr>
                <w:rFonts w:ascii="Arial" w:hAnsi="Arial" w:cs="Arial"/>
                <w:sz w:val="24"/>
                <w:szCs w:val="24"/>
              </w:rPr>
              <w:t xml:space="preserve"> </w:t>
            </w:r>
            <w:r w:rsidR="006B30E2">
              <w:rPr>
                <w:rFonts w:ascii="Arial" w:hAnsi="Arial" w:cs="Arial"/>
                <w:sz w:val="24"/>
                <w:szCs w:val="24"/>
              </w:rPr>
              <w:t>v </w:t>
            </w:r>
            <w:r w:rsidRPr="0031488E">
              <w:rPr>
                <w:rFonts w:ascii="Arial" w:hAnsi="Arial" w:cs="Arial"/>
                <w:sz w:val="24"/>
                <w:szCs w:val="24"/>
              </w:rPr>
              <w:t>tabul</w:t>
            </w:r>
            <w:r w:rsidR="006B30E2">
              <w:rPr>
                <w:rFonts w:ascii="Arial" w:hAnsi="Arial" w:cs="Arial"/>
                <w:sz w:val="24"/>
                <w:szCs w:val="24"/>
              </w:rPr>
              <w:t xml:space="preserve">ce </w:t>
            </w:r>
            <w:r w:rsidRPr="0031488E">
              <w:rPr>
                <w:rFonts w:ascii="Arial" w:hAnsi="Arial" w:cs="Arial"/>
                <w:sz w:val="24"/>
                <w:szCs w:val="24"/>
              </w:rPr>
              <w:t>1 Přílohy č.3 kupní a servisní smlouvy</w:t>
            </w:r>
          </w:p>
        </w:tc>
        <w:tc>
          <w:tcPr>
            <w:tcW w:w="1701" w:type="dxa"/>
            <w:tcBorders>
              <w:top w:val="nil"/>
              <w:left w:val="nil"/>
              <w:bottom w:val="single" w:sz="4" w:space="0" w:color="auto"/>
              <w:right w:val="single" w:sz="4" w:space="0" w:color="auto"/>
            </w:tcBorders>
            <w:shd w:val="clear" w:color="000000" w:fill="FFFF00"/>
            <w:vAlign w:val="center"/>
          </w:tcPr>
          <w:p w14:paraId="44E230FC" w14:textId="6E95C869" w:rsidR="0031488E" w:rsidRPr="0031488E" w:rsidRDefault="0031488E" w:rsidP="0031488E">
            <w:pPr>
              <w:jc w:val="center"/>
              <w:rPr>
                <w:rFonts w:ascii="Arial" w:hAnsi="Arial" w:cs="Arial"/>
                <w:sz w:val="24"/>
                <w:szCs w:val="24"/>
              </w:rPr>
            </w:pPr>
            <w:r w:rsidRPr="0031488E">
              <w:rPr>
                <w:rFonts w:ascii="Arial" w:hAnsi="Arial" w:cs="Arial"/>
                <w:sz w:val="24"/>
                <w:szCs w:val="24"/>
              </w:rPr>
              <w:t>………….</w:t>
            </w:r>
          </w:p>
        </w:tc>
      </w:tr>
      <w:tr w:rsidR="0031488E" w:rsidRPr="0031488E" w14:paraId="628B7BD7" w14:textId="77777777" w:rsidTr="0031488E">
        <w:trPr>
          <w:trHeight w:val="1002"/>
        </w:trPr>
        <w:tc>
          <w:tcPr>
            <w:tcW w:w="7513" w:type="dxa"/>
            <w:tcBorders>
              <w:top w:val="nil"/>
              <w:left w:val="single" w:sz="4" w:space="0" w:color="auto"/>
              <w:bottom w:val="single" w:sz="4" w:space="0" w:color="auto"/>
              <w:right w:val="single" w:sz="4" w:space="0" w:color="auto"/>
            </w:tcBorders>
            <w:vAlign w:val="center"/>
            <w:hideMark/>
          </w:tcPr>
          <w:p w14:paraId="64E548D7" w14:textId="77777777" w:rsidR="0031488E" w:rsidRPr="0031488E" w:rsidRDefault="0031488E" w:rsidP="0031488E">
            <w:pPr>
              <w:rPr>
                <w:rFonts w:ascii="Arial" w:hAnsi="Arial" w:cs="Arial"/>
                <w:b/>
                <w:bCs/>
                <w:color w:val="000000"/>
                <w:sz w:val="24"/>
                <w:szCs w:val="24"/>
              </w:rPr>
            </w:pPr>
            <w:r w:rsidRPr="0031488E">
              <w:rPr>
                <w:rFonts w:ascii="Arial" w:hAnsi="Arial" w:cs="Arial"/>
                <w:b/>
                <w:bCs/>
                <w:color w:val="000000"/>
                <w:sz w:val="24"/>
                <w:szCs w:val="24"/>
              </w:rPr>
              <w:t xml:space="preserve">CELKOVÁ NABÍDKOVÁ CENA                                                                                                                              </w:t>
            </w:r>
          </w:p>
        </w:tc>
        <w:tc>
          <w:tcPr>
            <w:tcW w:w="1701" w:type="dxa"/>
            <w:tcBorders>
              <w:top w:val="nil"/>
              <w:left w:val="nil"/>
              <w:bottom w:val="single" w:sz="4" w:space="0" w:color="auto"/>
              <w:right w:val="single" w:sz="4" w:space="0" w:color="auto"/>
            </w:tcBorders>
            <w:shd w:val="clear" w:color="auto" w:fill="FFFF00"/>
            <w:vAlign w:val="center"/>
            <w:hideMark/>
          </w:tcPr>
          <w:p w14:paraId="4B28427C" w14:textId="30FC6FB8" w:rsidR="0031488E" w:rsidRPr="0031488E" w:rsidRDefault="0031488E" w:rsidP="0031488E">
            <w:pPr>
              <w:jc w:val="center"/>
              <w:rPr>
                <w:rFonts w:ascii="Arial" w:hAnsi="Arial" w:cs="Arial"/>
                <w:b/>
                <w:bCs/>
                <w:color w:val="000000"/>
                <w:sz w:val="24"/>
                <w:szCs w:val="24"/>
              </w:rPr>
            </w:pPr>
            <w:r w:rsidRPr="0031488E">
              <w:rPr>
                <w:rFonts w:ascii="Arial" w:hAnsi="Arial" w:cs="Arial"/>
                <w:b/>
                <w:bCs/>
                <w:color w:val="000000"/>
                <w:sz w:val="24"/>
                <w:szCs w:val="24"/>
              </w:rPr>
              <w:t>………….</w:t>
            </w:r>
          </w:p>
        </w:tc>
      </w:tr>
    </w:tbl>
    <w:p w14:paraId="6D7EA8D2" w14:textId="77777777" w:rsidR="0031488E" w:rsidRDefault="0031488E" w:rsidP="006360F0">
      <w:pPr>
        <w:jc w:val="both"/>
        <w:rPr>
          <w:rFonts w:ascii="Arial" w:hAnsi="Arial" w:cs="Arial"/>
          <w:i/>
          <w:sz w:val="18"/>
          <w:szCs w:val="18"/>
        </w:rPr>
      </w:pPr>
    </w:p>
    <w:p w14:paraId="667A348E" w14:textId="77777777" w:rsidR="0031488E" w:rsidRDefault="0031488E" w:rsidP="006360F0">
      <w:pPr>
        <w:jc w:val="both"/>
        <w:rPr>
          <w:rFonts w:ascii="Arial" w:hAnsi="Arial" w:cs="Arial"/>
          <w:i/>
          <w:sz w:val="18"/>
          <w:szCs w:val="18"/>
        </w:rPr>
      </w:pP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xml:space="preserve">(*)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w:t>
      </w:r>
      <w:r w:rsidRPr="006C668E">
        <w:rPr>
          <w:rFonts w:ascii="Calibri" w:hAnsi="Calibri"/>
          <w:bCs/>
          <w:i/>
          <w:iCs/>
          <w:color w:val="000000"/>
        </w:rPr>
        <w:lastRenderedPageBreak/>
        <w:t>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42143704" w14:textId="26E476C7" w:rsidR="00D70F65" w:rsidRPr="00D70F65" w:rsidRDefault="001D1FF1" w:rsidP="00D70F65">
      <w:pPr>
        <w:jc w:val="center"/>
        <w:rPr>
          <w:rFonts w:ascii="Arial Black" w:hAnsi="Arial Black"/>
          <w:color w:val="7030A0"/>
          <w:sz w:val="40"/>
          <w:szCs w:val="40"/>
        </w:rPr>
      </w:pPr>
      <w:r w:rsidRPr="001D1FF1">
        <w:rPr>
          <w:rFonts w:ascii="Arial Black" w:hAnsi="Arial Black"/>
          <w:color w:val="7030A0"/>
          <w:sz w:val="40"/>
          <w:szCs w:val="40"/>
        </w:rPr>
        <w:t>Robotizovaný systém pro nácvik chůze včetně pozáručních činností</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F04B9A">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F04B9A">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F04B9A">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F04B9A">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F04B9A">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78DDACC9" w14:textId="77777777" w:rsidR="006360F0" w:rsidRPr="006C668E" w:rsidRDefault="006360F0"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lastRenderedPageBreak/>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65647E30" w14:textId="77777777" w:rsidR="00B32756" w:rsidRDefault="00B32756" w:rsidP="006360F0">
      <w:pPr>
        <w:jc w:val="both"/>
        <w:rPr>
          <w:rFonts w:ascii="Arial" w:hAnsi="Arial" w:cs="Arial"/>
          <w:i/>
          <w:sz w:val="18"/>
          <w:szCs w:val="18"/>
        </w:rPr>
      </w:pPr>
    </w:p>
    <w:p w14:paraId="2A904F19" w14:textId="77777777" w:rsidR="006360F0" w:rsidRDefault="006360F0" w:rsidP="006360F0">
      <w:pPr>
        <w:jc w:val="both"/>
        <w:rPr>
          <w:rFonts w:ascii="Arial" w:hAnsi="Arial" w:cs="Arial"/>
          <w:i/>
          <w:sz w:val="18"/>
          <w:szCs w:val="18"/>
        </w:rPr>
      </w:pPr>
    </w:p>
    <w:tbl>
      <w:tblPr>
        <w:tblW w:w="9214" w:type="dxa"/>
        <w:tblInd w:w="-5" w:type="dxa"/>
        <w:tblCellMar>
          <w:left w:w="70" w:type="dxa"/>
          <w:right w:w="70" w:type="dxa"/>
        </w:tblCellMar>
        <w:tblLook w:val="04A0" w:firstRow="1" w:lastRow="0" w:firstColumn="1" w:lastColumn="0" w:noHBand="0" w:noVBand="1"/>
      </w:tblPr>
      <w:tblGrid>
        <w:gridCol w:w="7513"/>
        <w:gridCol w:w="1701"/>
      </w:tblGrid>
      <w:tr w:rsidR="0031488E" w:rsidRPr="0031488E" w14:paraId="6AA977E5" w14:textId="77777777" w:rsidTr="00154B29">
        <w:trPr>
          <w:trHeight w:val="600"/>
        </w:trPr>
        <w:tc>
          <w:tcPr>
            <w:tcW w:w="9214" w:type="dxa"/>
            <w:gridSpan w:val="2"/>
            <w:tcBorders>
              <w:top w:val="single" w:sz="4" w:space="0" w:color="auto"/>
              <w:left w:val="single" w:sz="4" w:space="0" w:color="auto"/>
              <w:bottom w:val="single" w:sz="4" w:space="0" w:color="auto"/>
              <w:right w:val="single" w:sz="4" w:space="0" w:color="000000"/>
            </w:tcBorders>
            <w:vAlign w:val="center"/>
            <w:hideMark/>
          </w:tcPr>
          <w:p w14:paraId="11AE66C6" w14:textId="77777777" w:rsidR="0031488E" w:rsidRPr="0031488E" w:rsidRDefault="0031488E" w:rsidP="00154B29">
            <w:pPr>
              <w:jc w:val="center"/>
              <w:rPr>
                <w:rFonts w:ascii="Arial" w:hAnsi="Arial" w:cs="Arial"/>
                <w:b/>
                <w:bCs/>
                <w:color w:val="000000"/>
                <w:sz w:val="24"/>
                <w:szCs w:val="24"/>
              </w:rPr>
            </w:pPr>
            <w:r w:rsidRPr="0031488E">
              <w:rPr>
                <w:rFonts w:ascii="Arial" w:hAnsi="Arial" w:cs="Arial"/>
                <w:b/>
                <w:bCs/>
                <w:color w:val="000000"/>
                <w:sz w:val="24"/>
                <w:szCs w:val="24"/>
              </w:rPr>
              <w:t>Rekapitulace ceny v Kč bez DPH</w:t>
            </w:r>
          </w:p>
        </w:tc>
      </w:tr>
      <w:tr w:rsidR="0031488E" w:rsidRPr="0031488E" w14:paraId="23697B06" w14:textId="77777777" w:rsidTr="00154B29">
        <w:trPr>
          <w:trHeight w:val="1002"/>
        </w:trPr>
        <w:tc>
          <w:tcPr>
            <w:tcW w:w="7513" w:type="dxa"/>
            <w:tcBorders>
              <w:top w:val="nil"/>
              <w:left w:val="single" w:sz="4" w:space="0" w:color="auto"/>
              <w:bottom w:val="single" w:sz="4" w:space="0" w:color="auto"/>
              <w:right w:val="single" w:sz="4" w:space="0" w:color="auto"/>
            </w:tcBorders>
            <w:vAlign w:val="center"/>
            <w:hideMark/>
          </w:tcPr>
          <w:p w14:paraId="02696E5A" w14:textId="77777777" w:rsidR="0031488E" w:rsidRPr="0031488E" w:rsidRDefault="0031488E" w:rsidP="00154B29">
            <w:pPr>
              <w:rPr>
                <w:rFonts w:ascii="Arial" w:hAnsi="Arial" w:cs="Arial"/>
                <w:sz w:val="24"/>
                <w:szCs w:val="24"/>
              </w:rPr>
            </w:pPr>
            <w:r w:rsidRPr="0031488E">
              <w:rPr>
                <w:rFonts w:ascii="Arial" w:hAnsi="Arial" w:cs="Arial"/>
                <w:sz w:val="24"/>
                <w:szCs w:val="24"/>
              </w:rPr>
              <w:t xml:space="preserve">CENA ZA NÁKUP </w:t>
            </w:r>
            <w:r>
              <w:rPr>
                <w:rFonts w:ascii="Arial" w:hAnsi="Arial" w:cs="Arial"/>
                <w:sz w:val="24"/>
                <w:szCs w:val="24"/>
              </w:rPr>
              <w:t>P</w:t>
            </w:r>
            <w:r w:rsidRPr="0031488E">
              <w:rPr>
                <w:rFonts w:ascii="Arial" w:hAnsi="Arial" w:cs="Arial"/>
                <w:sz w:val="24"/>
                <w:szCs w:val="24"/>
              </w:rPr>
              <w:t>ŘÍSTROJE                                                                                                                  tj. kupní cena z čl. 2 Kupní a servisní smlouvy</w:t>
            </w:r>
          </w:p>
        </w:tc>
        <w:tc>
          <w:tcPr>
            <w:tcW w:w="1701" w:type="dxa"/>
            <w:tcBorders>
              <w:top w:val="nil"/>
              <w:left w:val="nil"/>
              <w:bottom w:val="single" w:sz="4" w:space="0" w:color="auto"/>
              <w:right w:val="single" w:sz="4" w:space="0" w:color="auto"/>
            </w:tcBorders>
            <w:shd w:val="clear" w:color="000000" w:fill="FFFF00"/>
            <w:vAlign w:val="center"/>
          </w:tcPr>
          <w:p w14:paraId="21BB243A" w14:textId="77777777" w:rsidR="0031488E" w:rsidRPr="0031488E" w:rsidRDefault="0031488E" w:rsidP="00154B29">
            <w:pPr>
              <w:jc w:val="center"/>
              <w:rPr>
                <w:rFonts w:ascii="Arial" w:hAnsi="Arial" w:cs="Arial"/>
                <w:sz w:val="24"/>
                <w:szCs w:val="24"/>
              </w:rPr>
            </w:pPr>
            <w:r w:rsidRPr="0031488E">
              <w:rPr>
                <w:rFonts w:ascii="Arial" w:hAnsi="Arial" w:cs="Arial"/>
                <w:sz w:val="24"/>
                <w:szCs w:val="24"/>
              </w:rPr>
              <w:t>………….</w:t>
            </w:r>
          </w:p>
        </w:tc>
      </w:tr>
      <w:tr w:rsidR="0031488E" w:rsidRPr="0031488E" w14:paraId="04154977" w14:textId="77777777" w:rsidTr="00154B29">
        <w:trPr>
          <w:trHeight w:val="1002"/>
        </w:trPr>
        <w:tc>
          <w:tcPr>
            <w:tcW w:w="7513" w:type="dxa"/>
            <w:tcBorders>
              <w:top w:val="nil"/>
              <w:left w:val="single" w:sz="4" w:space="0" w:color="auto"/>
              <w:bottom w:val="single" w:sz="4" w:space="0" w:color="auto"/>
              <w:right w:val="single" w:sz="4" w:space="0" w:color="auto"/>
            </w:tcBorders>
            <w:vAlign w:val="center"/>
            <w:hideMark/>
          </w:tcPr>
          <w:p w14:paraId="20A15745" w14:textId="365DC9AF" w:rsidR="0031488E" w:rsidRPr="0031488E" w:rsidRDefault="0031488E" w:rsidP="00154B29">
            <w:pPr>
              <w:rPr>
                <w:rFonts w:ascii="Arial" w:hAnsi="Arial" w:cs="Arial"/>
                <w:sz w:val="24"/>
                <w:szCs w:val="24"/>
              </w:rPr>
            </w:pPr>
            <w:r w:rsidRPr="0031488E">
              <w:rPr>
                <w:rFonts w:ascii="Arial" w:hAnsi="Arial" w:cs="Arial"/>
                <w:sz w:val="24"/>
                <w:szCs w:val="24"/>
              </w:rPr>
              <w:t xml:space="preserve">CENA ZA POZÁRUČNÍ ČINNOSTI                                                                                                       </w:t>
            </w:r>
            <w:r w:rsidR="006B30E2" w:rsidRPr="0031488E">
              <w:rPr>
                <w:rFonts w:ascii="Arial" w:hAnsi="Arial" w:cs="Arial"/>
                <w:sz w:val="24"/>
                <w:szCs w:val="24"/>
              </w:rPr>
              <w:t>tj.</w:t>
            </w:r>
            <w:r w:rsidR="006B30E2">
              <w:rPr>
                <w:rFonts w:ascii="Arial" w:hAnsi="Arial" w:cs="Arial"/>
                <w:sz w:val="24"/>
                <w:szCs w:val="24"/>
              </w:rPr>
              <w:t xml:space="preserve"> </w:t>
            </w:r>
            <w:r w:rsidR="006B30E2" w:rsidRPr="0031488E">
              <w:rPr>
                <w:rFonts w:ascii="Arial" w:hAnsi="Arial" w:cs="Arial"/>
                <w:sz w:val="24"/>
                <w:szCs w:val="24"/>
              </w:rPr>
              <w:t xml:space="preserve">cena uvedená v buňce </w:t>
            </w:r>
            <w:r w:rsidR="006B30E2">
              <w:rPr>
                <w:rFonts w:ascii="Arial" w:hAnsi="Arial" w:cs="Arial"/>
                <w:sz w:val="24"/>
                <w:szCs w:val="24"/>
              </w:rPr>
              <w:t>E14</w:t>
            </w:r>
            <w:r w:rsidR="006B30E2" w:rsidRPr="0031488E">
              <w:rPr>
                <w:rFonts w:ascii="Arial" w:hAnsi="Arial" w:cs="Arial"/>
                <w:sz w:val="24"/>
                <w:szCs w:val="24"/>
              </w:rPr>
              <w:t xml:space="preserve"> </w:t>
            </w:r>
            <w:r w:rsidR="006B30E2">
              <w:rPr>
                <w:rFonts w:ascii="Arial" w:hAnsi="Arial" w:cs="Arial"/>
                <w:sz w:val="24"/>
                <w:szCs w:val="24"/>
              </w:rPr>
              <w:t>v </w:t>
            </w:r>
            <w:r w:rsidR="006B30E2" w:rsidRPr="0031488E">
              <w:rPr>
                <w:rFonts w:ascii="Arial" w:hAnsi="Arial" w:cs="Arial"/>
                <w:sz w:val="24"/>
                <w:szCs w:val="24"/>
              </w:rPr>
              <w:t>tabul</w:t>
            </w:r>
            <w:r w:rsidR="006B30E2">
              <w:rPr>
                <w:rFonts w:ascii="Arial" w:hAnsi="Arial" w:cs="Arial"/>
                <w:sz w:val="24"/>
                <w:szCs w:val="24"/>
              </w:rPr>
              <w:t xml:space="preserve">ce </w:t>
            </w:r>
            <w:r w:rsidR="006B30E2" w:rsidRPr="0031488E">
              <w:rPr>
                <w:rFonts w:ascii="Arial" w:hAnsi="Arial" w:cs="Arial"/>
                <w:sz w:val="24"/>
                <w:szCs w:val="24"/>
              </w:rPr>
              <w:t>1 Přílohy č.3 kupní a servisní smlouvy</w:t>
            </w:r>
          </w:p>
        </w:tc>
        <w:tc>
          <w:tcPr>
            <w:tcW w:w="1701" w:type="dxa"/>
            <w:tcBorders>
              <w:top w:val="nil"/>
              <w:left w:val="nil"/>
              <w:bottom w:val="single" w:sz="4" w:space="0" w:color="auto"/>
              <w:right w:val="single" w:sz="4" w:space="0" w:color="auto"/>
            </w:tcBorders>
            <w:shd w:val="clear" w:color="000000" w:fill="FFFF00"/>
            <w:vAlign w:val="center"/>
          </w:tcPr>
          <w:p w14:paraId="689DAD7B" w14:textId="77777777" w:rsidR="0031488E" w:rsidRPr="0031488E" w:rsidRDefault="0031488E" w:rsidP="00154B29">
            <w:pPr>
              <w:jc w:val="center"/>
              <w:rPr>
                <w:rFonts w:ascii="Arial" w:hAnsi="Arial" w:cs="Arial"/>
                <w:sz w:val="24"/>
                <w:szCs w:val="24"/>
              </w:rPr>
            </w:pPr>
            <w:r w:rsidRPr="0031488E">
              <w:rPr>
                <w:rFonts w:ascii="Arial" w:hAnsi="Arial" w:cs="Arial"/>
                <w:sz w:val="24"/>
                <w:szCs w:val="24"/>
              </w:rPr>
              <w:t>………….</w:t>
            </w:r>
          </w:p>
        </w:tc>
      </w:tr>
      <w:tr w:rsidR="0031488E" w:rsidRPr="0031488E" w14:paraId="341C8F4B" w14:textId="77777777" w:rsidTr="00154B29">
        <w:trPr>
          <w:trHeight w:val="1002"/>
        </w:trPr>
        <w:tc>
          <w:tcPr>
            <w:tcW w:w="7513" w:type="dxa"/>
            <w:tcBorders>
              <w:top w:val="nil"/>
              <w:left w:val="single" w:sz="4" w:space="0" w:color="auto"/>
              <w:bottom w:val="single" w:sz="4" w:space="0" w:color="auto"/>
              <w:right w:val="single" w:sz="4" w:space="0" w:color="auto"/>
            </w:tcBorders>
            <w:vAlign w:val="center"/>
            <w:hideMark/>
          </w:tcPr>
          <w:p w14:paraId="3FAFFE6C" w14:textId="77777777" w:rsidR="0031488E" w:rsidRPr="0031488E" w:rsidRDefault="0031488E" w:rsidP="00154B29">
            <w:pPr>
              <w:rPr>
                <w:rFonts w:ascii="Arial" w:hAnsi="Arial" w:cs="Arial"/>
                <w:b/>
                <w:bCs/>
                <w:color w:val="000000"/>
                <w:sz w:val="24"/>
                <w:szCs w:val="24"/>
              </w:rPr>
            </w:pPr>
            <w:r w:rsidRPr="0031488E">
              <w:rPr>
                <w:rFonts w:ascii="Arial" w:hAnsi="Arial" w:cs="Arial"/>
                <w:b/>
                <w:bCs/>
                <w:color w:val="000000"/>
                <w:sz w:val="24"/>
                <w:szCs w:val="24"/>
              </w:rPr>
              <w:t xml:space="preserve">CELKOVÁ NABÍDKOVÁ CENA                                                                                                                              </w:t>
            </w:r>
          </w:p>
        </w:tc>
        <w:tc>
          <w:tcPr>
            <w:tcW w:w="1701" w:type="dxa"/>
            <w:tcBorders>
              <w:top w:val="nil"/>
              <w:left w:val="nil"/>
              <w:bottom w:val="single" w:sz="4" w:space="0" w:color="auto"/>
              <w:right w:val="single" w:sz="4" w:space="0" w:color="auto"/>
            </w:tcBorders>
            <w:shd w:val="clear" w:color="auto" w:fill="FFFF00"/>
            <w:vAlign w:val="center"/>
            <w:hideMark/>
          </w:tcPr>
          <w:p w14:paraId="5DC044CF" w14:textId="77777777" w:rsidR="0031488E" w:rsidRPr="0031488E" w:rsidRDefault="0031488E" w:rsidP="00154B29">
            <w:pPr>
              <w:jc w:val="center"/>
              <w:rPr>
                <w:rFonts w:ascii="Arial" w:hAnsi="Arial" w:cs="Arial"/>
                <w:b/>
                <w:bCs/>
                <w:color w:val="000000"/>
                <w:sz w:val="24"/>
                <w:szCs w:val="24"/>
              </w:rPr>
            </w:pPr>
            <w:r w:rsidRPr="0031488E">
              <w:rPr>
                <w:rFonts w:ascii="Arial" w:hAnsi="Arial" w:cs="Arial"/>
                <w:b/>
                <w:bCs/>
                <w:color w:val="000000"/>
                <w:sz w:val="24"/>
                <w:szCs w:val="24"/>
              </w:rPr>
              <w:t>………….</w:t>
            </w:r>
          </w:p>
        </w:tc>
      </w:tr>
    </w:tbl>
    <w:p w14:paraId="4E819F82" w14:textId="77777777" w:rsidR="0031488E" w:rsidRDefault="0031488E" w:rsidP="006360F0">
      <w:pPr>
        <w:jc w:val="both"/>
        <w:rPr>
          <w:rFonts w:ascii="Arial" w:hAnsi="Arial" w:cs="Arial"/>
          <w:i/>
          <w:sz w:val="18"/>
          <w:szCs w:val="18"/>
        </w:rPr>
      </w:pPr>
    </w:p>
    <w:p w14:paraId="46EA25A3" w14:textId="77777777" w:rsidR="0031488E" w:rsidRDefault="0031488E" w:rsidP="006360F0">
      <w:pPr>
        <w:jc w:val="both"/>
        <w:rPr>
          <w:rFonts w:ascii="Arial" w:hAnsi="Arial" w:cs="Arial"/>
          <w:i/>
          <w:sz w:val="18"/>
          <w:szCs w:val="18"/>
        </w:rPr>
      </w:pPr>
    </w:p>
    <w:p w14:paraId="3A3EAE38" w14:textId="77777777" w:rsidR="0031488E" w:rsidRPr="006C668E" w:rsidRDefault="0031488E"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rovněž prohlašuje, že splnění výše uvedených podmínek se týká i případných poddodavatelů, </w:t>
      </w:r>
      <w:r w:rsidRPr="006C668E">
        <w:rPr>
          <w:rFonts w:ascii="Calibri" w:hAnsi="Calibri"/>
          <w:bCs/>
          <w:color w:val="000000"/>
          <w:sz w:val="22"/>
          <w:szCs w:val="22"/>
        </w:rPr>
        <w:lastRenderedPageBreak/>
        <w:t>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31488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B3525"/>
    <w:rsid w:val="000E0C5B"/>
    <w:rsid w:val="000E57D5"/>
    <w:rsid w:val="000E7C0F"/>
    <w:rsid w:val="000E7E19"/>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977AC"/>
    <w:rsid w:val="001B47A5"/>
    <w:rsid w:val="001C0061"/>
    <w:rsid w:val="001C3204"/>
    <w:rsid w:val="001C4C93"/>
    <w:rsid w:val="001C76AD"/>
    <w:rsid w:val="001D1FF1"/>
    <w:rsid w:val="00200AF9"/>
    <w:rsid w:val="00200F1D"/>
    <w:rsid w:val="00207B5F"/>
    <w:rsid w:val="00212450"/>
    <w:rsid w:val="0021408A"/>
    <w:rsid w:val="00222675"/>
    <w:rsid w:val="0022728B"/>
    <w:rsid w:val="0022732E"/>
    <w:rsid w:val="00227C37"/>
    <w:rsid w:val="002404DB"/>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0D02"/>
    <w:rsid w:val="002F62E8"/>
    <w:rsid w:val="002F7C6F"/>
    <w:rsid w:val="00312015"/>
    <w:rsid w:val="0031204C"/>
    <w:rsid w:val="00314048"/>
    <w:rsid w:val="0031488E"/>
    <w:rsid w:val="00317874"/>
    <w:rsid w:val="00322451"/>
    <w:rsid w:val="003244F0"/>
    <w:rsid w:val="003270E5"/>
    <w:rsid w:val="003306C1"/>
    <w:rsid w:val="00340BC8"/>
    <w:rsid w:val="00352630"/>
    <w:rsid w:val="00361307"/>
    <w:rsid w:val="00362AD6"/>
    <w:rsid w:val="0036405A"/>
    <w:rsid w:val="003A3C52"/>
    <w:rsid w:val="003D15BD"/>
    <w:rsid w:val="003D796A"/>
    <w:rsid w:val="0041526D"/>
    <w:rsid w:val="004237FF"/>
    <w:rsid w:val="00431D4B"/>
    <w:rsid w:val="00441516"/>
    <w:rsid w:val="00445E9C"/>
    <w:rsid w:val="0045176A"/>
    <w:rsid w:val="004540E7"/>
    <w:rsid w:val="00470BFC"/>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022CD"/>
    <w:rsid w:val="005052BE"/>
    <w:rsid w:val="00511206"/>
    <w:rsid w:val="005127D9"/>
    <w:rsid w:val="00512E27"/>
    <w:rsid w:val="00524DB5"/>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B30E2"/>
    <w:rsid w:val="006B701C"/>
    <w:rsid w:val="006C39EE"/>
    <w:rsid w:val="006C668E"/>
    <w:rsid w:val="006C7BED"/>
    <w:rsid w:val="006D538F"/>
    <w:rsid w:val="006F38F0"/>
    <w:rsid w:val="00704EFE"/>
    <w:rsid w:val="00745AAB"/>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32643"/>
    <w:rsid w:val="008351AF"/>
    <w:rsid w:val="00841178"/>
    <w:rsid w:val="00847ACB"/>
    <w:rsid w:val="0085213B"/>
    <w:rsid w:val="0088093E"/>
    <w:rsid w:val="0088197C"/>
    <w:rsid w:val="00891955"/>
    <w:rsid w:val="00891A8C"/>
    <w:rsid w:val="00894D72"/>
    <w:rsid w:val="0089792B"/>
    <w:rsid w:val="008A1FE7"/>
    <w:rsid w:val="008A4403"/>
    <w:rsid w:val="008A623F"/>
    <w:rsid w:val="008B1C5D"/>
    <w:rsid w:val="008B65C8"/>
    <w:rsid w:val="008C3FCA"/>
    <w:rsid w:val="008D42BE"/>
    <w:rsid w:val="008E2123"/>
    <w:rsid w:val="008E6522"/>
    <w:rsid w:val="008F294A"/>
    <w:rsid w:val="009240EB"/>
    <w:rsid w:val="009259AC"/>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2756"/>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04BA6"/>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0F65"/>
    <w:rsid w:val="00D7173E"/>
    <w:rsid w:val="00D739FA"/>
    <w:rsid w:val="00D80F0F"/>
    <w:rsid w:val="00D909E7"/>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4B9A"/>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97882"/>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1488E"/>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737506">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949094242">
      <w:bodyDiv w:val="1"/>
      <w:marLeft w:val="0"/>
      <w:marRight w:val="0"/>
      <w:marTop w:val="0"/>
      <w:marBottom w:val="0"/>
      <w:divBdr>
        <w:top w:val="none" w:sz="0" w:space="0" w:color="auto"/>
        <w:left w:val="none" w:sz="0" w:space="0" w:color="auto"/>
        <w:bottom w:val="none" w:sz="0" w:space="0" w:color="auto"/>
        <w:right w:val="none" w:sz="0" w:space="0" w:color="auto"/>
      </w:divBdr>
    </w:div>
    <w:div w:id="1025248305">
      <w:bodyDiv w:val="1"/>
      <w:marLeft w:val="0"/>
      <w:marRight w:val="0"/>
      <w:marTop w:val="0"/>
      <w:marBottom w:val="0"/>
      <w:divBdr>
        <w:top w:val="none" w:sz="0" w:space="0" w:color="auto"/>
        <w:left w:val="none" w:sz="0" w:space="0" w:color="auto"/>
        <w:bottom w:val="none" w:sz="0" w:space="0" w:color="auto"/>
        <w:right w:val="none" w:sz="0" w:space="0" w:color="auto"/>
      </w:divBdr>
    </w:div>
    <w:div w:id="1032192869">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1141</Words>
  <Characters>7301</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16</cp:revision>
  <dcterms:created xsi:type="dcterms:W3CDTF">2023-10-13T08:18:00Z</dcterms:created>
  <dcterms:modified xsi:type="dcterms:W3CDTF">2025-10-21T09:38:00Z</dcterms:modified>
</cp:coreProperties>
</file>